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43CB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F7E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Ульяновской области от 19.08.2019 N 400-П</w:t>
            </w:r>
            <w:r>
              <w:rPr>
                <w:sz w:val="48"/>
                <w:szCs w:val="48"/>
              </w:rPr>
              <w:br/>
              <w:t>(ред. от 09.03.2022)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F7E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7EA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7EA9">
      <w:pPr>
        <w:pStyle w:val="ConsPlusNormal"/>
        <w:jc w:val="both"/>
        <w:outlineLvl w:val="0"/>
      </w:pPr>
    </w:p>
    <w:p w:rsidR="00000000" w:rsidRDefault="006F7EA9">
      <w:pPr>
        <w:pStyle w:val="ConsPlusTitle"/>
        <w:jc w:val="center"/>
        <w:outlineLvl w:val="0"/>
      </w:pPr>
      <w:r>
        <w:t>ПРАВИТЕЛЬСТВО УЛЬЯНОВСКОЙ ОБЛАСТИ</w:t>
      </w:r>
    </w:p>
    <w:p w:rsidR="00000000" w:rsidRDefault="006F7EA9">
      <w:pPr>
        <w:pStyle w:val="ConsPlusTitle"/>
        <w:jc w:val="both"/>
      </w:pPr>
    </w:p>
    <w:p w:rsidR="00000000" w:rsidRDefault="006F7EA9">
      <w:pPr>
        <w:pStyle w:val="ConsPlusTitle"/>
        <w:jc w:val="center"/>
      </w:pPr>
      <w:r>
        <w:t>ПОСТАНОВЛЕНИЕ</w:t>
      </w:r>
    </w:p>
    <w:p w:rsidR="00000000" w:rsidRDefault="006F7EA9">
      <w:pPr>
        <w:pStyle w:val="ConsPlusTitle"/>
        <w:jc w:val="center"/>
      </w:pPr>
      <w:r>
        <w:t>от 19 августа 2019 г. N 400-П</w:t>
      </w:r>
    </w:p>
    <w:p w:rsidR="00000000" w:rsidRDefault="006F7EA9">
      <w:pPr>
        <w:pStyle w:val="ConsPlusTitle"/>
        <w:jc w:val="both"/>
      </w:pPr>
    </w:p>
    <w:p w:rsidR="00000000" w:rsidRDefault="006F7EA9">
      <w:pPr>
        <w:pStyle w:val="ConsPlusTitle"/>
        <w:jc w:val="center"/>
      </w:pPr>
      <w:r>
        <w:t>ОБ УТВЕРЖДЕНИИ ПРАВИЛ ПРЕДОСТАВЛЕНИЯ ГРАНТА В ФОРМЕ СУБСИДИИ</w:t>
      </w:r>
    </w:p>
    <w:p w:rsidR="00000000" w:rsidRDefault="006F7EA9">
      <w:pPr>
        <w:pStyle w:val="ConsPlusTitle"/>
        <w:jc w:val="center"/>
      </w:pPr>
      <w:r>
        <w:t>ИЗ ОБЛАСТНОГО БЮДЖЕТА УЛЬЯНОВСКОЙ ОБЛАСТИ НЕКОММЕРЧЕСКОЙ</w:t>
      </w:r>
    </w:p>
    <w:p w:rsidR="00000000" w:rsidRDefault="006F7EA9">
      <w:pPr>
        <w:pStyle w:val="ConsPlusTitle"/>
        <w:jc w:val="center"/>
      </w:pPr>
      <w:r>
        <w:t>ОРГАНИЗАЦИИ, РЕАЛИЗУЮЩЕЙ НА ТЕРРИТОРИИ УЛЬЯНОВСКОЙ ОБЛАСТИ</w:t>
      </w:r>
    </w:p>
    <w:p w:rsidR="00000000" w:rsidRDefault="006F7EA9">
      <w:pPr>
        <w:pStyle w:val="ConsPlusTitle"/>
        <w:jc w:val="center"/>
      </w:pPr>
      <w:r>
        <w:t>ПРОЕКТ ПО ИНФОРМАЦИОННО-КОНСУЛЬТАЦИОННОМУ СОПРОВОЖДЕНИЮ</w:t>
      </w:r>
    </w:p>
    <w:p w:rsidR="00000000" w:rsidRDefault="006F7EA9">
      <w:pPr>
        <w:pStyle w:val="ConsPlusTitle"/>
        <w:jc w:val="center"/>
      </w:pPr>
      <w:r>
        <w:t>РАЗВИТИЯ САДОВОДСТВА</w:t>
      </w:r>
    </w:p>
    <w:p w:rsidR="00000000" w:rsidRDefault="006F7EA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7EA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7EA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21.07.2020 </w:t>
            </w:r>
            <w:hyperlink r:id="rId9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02.06.2021 </w:t>
            </w:r>
            <w:hyperlink r:id="rId10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11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09.03.2022 </w:t>
            </w:r>
            <w:hyperlink r:id="rId12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государственной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агропромышленного </w:t>
      </w:r>
      <w:r>
        <w:t>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</w:t>
      </w:r>
      <w:r>
        <w:t>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000000" w:rsidRDefault="006F7EA9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предост</w:t>
      </w:r>
      <w:r>
        <w:t>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2. Настоящее постановление вст</w:t>
      </w:r>
      <w:r>
        <w:t>упает в силу на следующий день после дня его официального опубликования.</w:t>
      </w: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right"/>
      </w:pPr>
      <w:r>
        <w:t>Исполняющий обязанности Председателя</w:t>
      </w:r>
    </w:p>
    <w:p w:rsidR="00000000" w:rsidRDefault="006F7EA9">
      <w:pPr>
        <w:pStyle w:val="ConsPlusNormal"/>
        <w:jc w:val="right"/>
      </w:pPr>
      <w:r>
        <w:t>Правительства Ульяновской области</w:t>
      </w:r>
    </w:p>
    <w:p w:rsidR="00000000" w:rsidRDefault="006F7EA9">
      <w:pPr>
        <w:pStyle w:val="ConsPlusNormal"/>
        <w:jc w:val="right"/>
      </w:pPr>
      <w:r>
        <w:t>А.С.ТЮРИН</w:t>
      </w: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right"/>
        <w:outlineLvl w:val="0"/>
      </w:pPr>
      <w:r>
        <w:t>Утверждены</w:t>
      </w:r>
    </w:p>
    <w:p w:rsidR="00000000" w:rsidRDefault="006F7EA9">
      <w:pPr>
        <w:pStyle w:val="ConsPlusNormal"/>
        <w:jc w:val="right"/>
      </w:pPr>
      <w:r>
        <w:t>постановлением</w:t>
      </w:r>
    </w:p>
    <w:p w:rsidR="00000000" w:rsidRDefault="006F7EA9">
      <w:pPr>
        <w:pStyle w:val="ConsPlusNormal"/>
        <w:jc w:val="right"/>
      </w:pPr>
      <w:r>
        <w:t>Правительства Ульяновской области</w:t>
      </w:r>
    </w:p>
    <w:p w:rsidR="00000000" w:rsidRDefault="006F7EA9">
      <w:pPr>
        <w:pStyle w:val="ConsPlusNormal"/>
        <w:jc w:val="right"/>
      </w:pPr>
      <w:r>
        <w:lastRenderedPageBreak/>
        <w:t>от 19 августа 2019 г. N 400-П</w:t>
      </w: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Title"/>
        <w:jc w:val="center"/>
      </w:pPr>
      <w:bookmarkStart w:id="0" w:name="Par34"/>
      <w:bookmarkEnd w:id="0"/>
      <w:r>
        <w:t>ПРАВИЛА</w:t>
      </w:r>
    </w:p>
    <w:p w:rsidR="00000000" w:rsidRDefault="006F7EA9">
      <w:pPr>
        <w:pStyle w:val="ConsPlusTitle"/>
        <w:jc w:val="center"/>
      </w:pPr>
      <w:r>
        <w:t>ПРЕДОСТАВЛЕНИЯ ГРАНТА В ФОРМЕ СУБСИДИИ ИЗ ОБЛАСТНОГО</w:t>
      </w:r>
    </w:p>
    <w:p w:rsidR="00000000" w:rsidRDefault="006F7EA9">
      <w:pPr>
        <w:pStyle w:val="ConsPlusTitle"/>
        <w:jc w:val="center"/>
      </w:pPr>
      <w:r>
        <w:t>БЮДЖЕТА УЛЬЯНОВСКОЙ ОБЛАСТИ НЕКОММЕРЧЕСКОЙ ОРГАНИЗАЦИИ,</w:t>
      </w:r>
    </w:p>
    <w:p w:rsidR="00000000" w:rsidRDefault="006F7EA9">
      <w:pPr>
        <w:pStyle w:val="ConsPlusTitle"/>
        <w:jc w:val="center"/>
      </w:pPr>
      <w:r>
        <w:t>РЕАЛИЗУЮЩЕЙ НА ТЕРРИТОРИИ УЛЬЯНОВСКОЙ ОБЛАСТИ ПРОЕКТ</w:t>
      </w:r>
    </w:p>
    <w:p w:rsidR="00000000" w:rsidRDefault="006F7EA9">
      <w:pPr>
        <w:pStyle w:val="ConsPlusTitle"/>
        <w:jc w:val="center"/>
      </w:pPr>
      <w:r>
        <w:t>ПО ИНФОРМАЦИОННО-КОНСУЛЬТАЦИОННОМУ СОПРОВОЖДЕНИЮ</w:t>
      </w:r>
    </w:p>
    <w:p w:rsidR="00000000" w:rsidRDefault="006F7EA9">
      <w:pPr>
        <w:pStyle w:val="ConsPlusTitle"/>
        <w:jc w:val="center"/>
      </w:pPr>
      <w:r>
        <w:t>РАЗВИТИЯ САДОВОДСТВА</w:t>
      </w:r>
    </w:p>
    <w:p w:rsidR="00000000" w:rsidRDefault="006F7EA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7EA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7EA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</w:t>
            </w:r>
            <w:r>
              <w:rPr>
                <w:color w:val="392C69"/>
              </w:rPr>
              <w:t>зменяющих документов</w:t>
            </w:r>
          </w:p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21.07.2020 </w:t>
            </w:r>
            <w:hyperlink r:id="rId16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02.06.2021 </w:t>
            </w:r>
            <w:hyperlink r:id="rId17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18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09.03.2022 </w:t>
            </w:r>
            <w:hyperlink r:id="rId19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7EA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ind w:firstLine="540"/>
        <w:jc w:val="both"/>
      </w:pPr>
      <w:r>
        <w:t>1. Настоящие Правила устанавливают порядок предоставления гранта в форме субсидии из областного бюджета Ульяновской</w:t>
      </w:r>
      <w:r>
        <w:t xml:space="preserve"> области некоммерческой организации (далее - грант, некоммерческая организация соответственно), реализующей на территории Ульяновской области проект по информационно-консультационному сопровождению развития садоводства (далее - проект).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2. Грант предоставл</w:t>
      </w:r>
      <w:r>
        <w:t>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гранта, доведенных до Министерства агропромышленного ко</w:t>
      </w:r>
      <w:r>
        <w:t>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2.1. Сведения о гранте размещаются на едином портале бюджетной системы Российской Федерации в информационно-тел</w:t>
      </w:r>
      <w:r>
        <w:t>екоммуникационной сети "Интернет" (далее - единый портал)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</w:t>
      </w:r>
      <w:r>
        <w:t xml:space="preserve">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000000" w:rsidRDefault="006F7EA9">
      <w:pPr>
        <w:pStyle w:val="ConsPlusNormal"/>
        <w:jc w:val="both"/>
      </w:pPr>
      <w:r>
        <w:t xml:space="preserve">(п. 2.1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1" w:name="Par49"/>
      <w:bookmarkEnd w:id="1"/>
      <w:r>
        <w:t xml:space="preserve">3. Грант предоставляется некоммерческой организации </w:t>
      </w:r>
      <w:r>
        <w:t>по результатам отбора некоммерческих организаций для предоставления гранта, проводимого в соответствии с настоящими Правилами в форме конкурса (далее - конкурсный отбор), в целях финансового обеспечения затрат такой некоммерческой организации в связи с реа</w:t>
      </w:r>
      <w:r>
        <w:t>лизацией проекта. Объем гранта определяется исходя из объема указанных затрат, но не может превышать 2500,0 тыс. рублей.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4. Конкурсный отбор проводится Министерством.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 xml:space="preserve">5. Участниками конкурсного отбора могут быть некоммерческие организации, которые по </w:t>
      </w:r>
      <w:r>
        <w:lastRenderedPageBreak/>
        <w:t>состоянию на дату представления в Министерство документов (</w:t>
      </w:r>
      <w:r>
        <w:t>копий документов), необходимых для участия в конкурсном отборе, соответствуют следующим требованиям: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</w:t>
      </w:r>
      <w:r>
        <w:t>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1) некоммерческая организация должна осуществлять деятельность на территории Ульяновской области в течение более чем двух лет;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2) членами некоммерческой организации должны быть садоводческие и (или) огороднические неком</w:t>
      </w:r>
      <w:r>
        <w:t>мерческие товарищества, осуществляющие деятельность на территории Ульяновской области, в количестве не менее двух соответствующих товариществ;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21.07.2020 N 382-П;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4) некоммерческая организация не должна получать средства областного бюджета Ульяновской области в соответствии с иными правовыми а</w:t>
      </w:r>
      <w:r>
        <w:t xml:space="preserve">ктами на цели, указанные в </w:t>
      </w:r>
      <w:hyperlink w:anchor="Par49" w:tooltip="3. Грант предоставляется некоммерческой организации по результатам отбора некоммерческих организаций для предоставления гранта, проводимого в соответствии с настоящими Правилами в форме конкурса (далее - конкурсный отбор), в целях финансового обеспечения затрат такой некоммерческой организации в связи с реализацией проекта. Объем гранта определяется исходя из объема указанных затрат, но не может превышать 2500,0 тыс. рублей.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5)</w:t>
      </w:r>
      <w:r>
        <w:t xml:space="preserve"> у некоммерческой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правовыми актами Ульяновской области, и</w:t>
      </w:r>
      <w:r>
        <w:t xml:space="preserve"> иная просроченная (неурегулированная) задолженность по денежным обязательствам перед Ульяновской областью (за исключением субсидий (грантов в форме субсидий), предоставляемых государственным учреждениям);</w:t>
      </w:r>
    </w:p>
    <w:p w:rsidR="00000000" w:rsidRDefault="006F7EA9">
      <w:pPr>
        <w:pStyle w:val="ConsPlusNormal"/>
        <w:jc w:val="both"/>
      </w:pPr>
      <w:r>
        <w:t>(в ред. постановлений Правительства Ульяновской об</w:t>
      </w:r>
      <w:r>
        <w:t xml:space="preserve">ласти от 21.07.2020 </w:t>
      </w:r>
      <w:hyperlink r:id="rId24" w:history="1">
        <w:r>
          <w:rPr>
            <w:color w:val="0000FF"/>
          </w:rPr>
          <w:t>N 382-П</w:t>
        </w:r>
      </w:hyperlink>
      <w:r>
        <w:t xml:space="preserve">, от 02.06.2021 </w:t>
      </w:r>
      <w:hyperlink r:id="rId25" w:history="1">
        <w:r>
          <w:rPr>
            <w:color w:val="0000FF"/>
          </w:rPr>
          <w:t>N 216-П</w:t>
        </w:r>
      </w:hyperlink>
      <w:r>
        <w:t>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6)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должна быть введена</w:t>
      </w:r>
      <w:r>
        <w:t xml:space="preserve">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Федерации;</w:t>
      </w:r>
    </w:p>
    <w:p w:rsidR="00000000" w:rsidRDefault="006F7EA9">
      <w:pPr>
        <w:pStyle w:val="ConsPlusNormal"/>
        <w:jc w:val="both"/>
      </w:pPr>
      <w:r>
        <w:t xml:space="preserve">(в ред. постановлений Правительства Ульяновской области от 21.07.2020 </w:t>
      </w:r>
      <w:hyperlink r:id="rId26" w:history="1">
        <w:r>
          <w:rPr>
            <w:color w:val="0000FF"/>
          </w:rPr>
          <w:t>N 382-П</w:t>
        </w:r>
      </w:hyperlink>
      <w:r>
        <w:t xml:space="preserve">, от 02.06.2021 </w:t>
      </w:r>
      <w:hyperlink r:id="rId27" w:history="1">
        <w:r>
          <w:rPr>
            <w:color w:val="0000FF"/>
          </w:rPr>
          <w:t>N 216-П</w:t>
        </w:r>
      </w:hyperlink>
      <w:r>
        <w:t>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7) в реестре дисквалифи</w:t>
      </w:r>
      <w:r>
        <w:t>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некоммерческой организации.</w:t>
      </w:r>
    </w:p>
    <w:p w:rsidR="00000000" w:rsidRDefault="006F7EA9">
      <w:pPr>
        <w:pStyle w:val="ConsPlusNormal"/>
        <w:jc w:val="both"/>
      </w:pPr>
      <w:r>
        <w:t>(пп. 7 в ре</w:t>
      </w:r>
      <w:r>
        <w:t xml:space="preserve">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8) некоммерческой организации не должно быть назначено адми</w:t>
      </w:r>
      <w:r>
        <w:t>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истек.</w:t>
      </w:r>
    </w:p>
    <w:p w:rsidR="00000000" w:rsidRDefault="006F7EA9">
      <w:pPr>
        <w:pStyle w:val="ConsPlusNormal"/>
        <w:jc w:val="both"/>
      </w:pPr>
      <w:r>
        <w:t>(в ре</w:t>
      </w:r>
      <w:r>
        <w:t xml:space="preserve">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Некоммерческая организация - участник конкурсного отбора также должна</w:t>
      </w:r>
      <w:r>
        <w:t xml:space="preserve"> соответствовать требованию об отсутствии у нее неисполненной обязанности по уплате налогов, сборов, </w:t>
      </w:r>
      <w: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</w:t>
      </w:r>
      <w:r>
        <w:t xml:space="preserve">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 дней.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6. Объявление о проведении конкурсного отбора (далее - объявление) размещается в установленном Министерством финансов Российской Федерации</w:t>
      </w:r>
      <w:r>
        <w:t xml:space="preserve"> порядке на едином портале, а также Министерством на официальном сайте Министерства в информационно-телекоммуникационной сети "Интернет" по адресу https://mcx73.ru (далее - официальный сайт) не позднее чем за 3 рабочих дня до дня начала срока приема заявок</w:t>
      </w:r>
      <w:r>
        <w:t xml:space="preserve"> на участие в конкурсном отборе (далее - заявки).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 объявлении должны быть указаны: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дата и время начала и окончания срока приема заявок некоммерческих организаций, продолжительность которого не может быть меньше 30 календарных дней, следующих за днем разме</w:t>
      </w:r>
      <w:r>
        <w:t>щения объявления на едином портале;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результаты предоставления гранта в соответствии с </w:t>
      </w:r>
      <w:hyperlink w:anchor="Par184" w:tooltip="16.1. Результатами предоставления гранта являются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16.1</w:t>
        </w:r>
      </w:hyperlink>
      <w:r>
        <w:t xml:space="preserve"> настоящих Правил;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доменное имя и (или) сетевой адрес и (или) указатели страниц официального сайта, на котором обеспечивается проведение конкурсного отбора;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требования к некоммерческим организациям, установленные </w:t>
      </w:r>
      <w:hyperlink w:anchor="Par52" w:tooltip="5. Участниками конкурсного отбора могут быть некоммерческие организации, которые по состоянию на дату представления в Министерство документов (копий документов), необходимых для участия в конкурсном отборе, соответствуют следующим требованиям:" w:history="1">
        <w:r>
          <w:rPr>
            <w:color w:val="0000FF"/>
          </w:rPr>
          <w:t>пунктом 5</w:t>
        </w:r>
      </w:hyperlink>
      <w:r>
        <w:t xml:space="preserve"> настоящих П</w:t>
      </w:r>
      <w:r>
        <w:t>равил;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порядок представления заявок некоммерческими организациями и требования, предъявляемые к форме и содержанию заявок, установленные </w:t>
      </w:r>
      <w:hyperlink w:anchor="Par85" w:tooltip="7. Для участия в конкурсном отборе некоммерческая организация в течение срока приема заявок, указанного в объявлении, представляет в Министерство: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порядок отзыва заявок некоммерческими организациями;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правила рассмотрения заявок и оценки некоммерческих организаций и представленных ими проектов;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порядок предоставления некоммерческим организациям разъяснений положений объявления, даты начала и окончания срока представления таких разъяснений;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срок, в течение которого некоммерческая организация, ставшая победителем конкурсного отбора, должна подписат</w:t>
      </w:r>
      <w:r>
        <w:t>ь соглашение о предоставлении гранта;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условия признания некоммерческой организации, ставшей победителем конкурсного отбора, уклонившейся от заключения соглашения о предоставлении гранта;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дата размещения результатов конкурсного отбора на едином портале, а т</w:t>
      </w:r>
      <w:r>
        <w:t>акже на официальном сайте, которая не может быть установлена позднее чем через 14 календарных дней, следующих за днем определения победителя конкурсного отбора.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lastRenderedPageBreak/>
        <w:t>В случае если по истечении срока приема заявок, указанного в объявлении, будет установлено, что</w:t>
      </w:r>
      <w:r>
        <w:t xml:space="preserve"> заявка представлена только одной некоммерческой организацией или не представлена ни одной некоммерческой организацией, срок приема заявок продлевается на 7 календарных дней со дня истечения срока приема заявок, указанного в объявлении. Сообщение о продлен</w:t>
      </w:r>
      <w:r>
        <w:t>ии срока приема заявок размещается на едином портале и официальном сайте и должно содержать сведения о дате окончания такого продленного срока.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 случае если по истечении продленного срока приема заявок будет установлено, что заявка представлена только одн</w:t>
      </w:r>
      <w:r>
        <w:t>ой некоммерческой организацией или не представлена ни одной из некоммерческих организаций, конкурсный отбор признается несостоявшимся.</w:t>
      </w:r>
    </w:p>
    <w:p w:rsidR="00000000" w:rsidRDefault="006F7EA9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5" w:name="Par85"/>
      <w:bookmarkEnd w:id="5"/>
      <w:r>
        <w:t>7. Для участия в конкурсном отборе некоммерческая организация в течение срока приема заявок, указанного в объявлении, представляет в Министерство: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1) заявку, составленную по форме, утвержденной правовым актом Министерства, включающую </w:t>
      </w:r>
      <w:r>
        <w:t>согласие на публикацию (размещение) в информационно-телекоммуникационной сети "Интернет" информации о некоммерческой организации, о представленной некоммерческой организацией заявке и иной информации о некоммерческой организации, связанной с конкурсным отб</w:t>
      </w:r>
      <w:r>
        <w:t>ором;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2) проект, содержащий: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а) описание проекта;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б) перечень ме</w:t>
      </w:r>
      <w:r>
        <w:t>роприятий, планируемых к осуществлению в процессе реализации проекта;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в) сведения о планируемом количестве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</w:t>
      </w:r>
      <w:r>
        <w:t>и Ульяновской области, числе их членов, жителей Ульяновской области, не являющихся членами таких товариществ;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г) сведения об объеме запрашиваемого гранта и финансово-экономическое обоснование объема запрашиваемого гранта;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3) копии учредительных документов </w:t>
      </w:r>
      <w:r>
        <w:t>некоммерческой организации, заверенные печатью некоммерческой организации и подписью ее руководителя;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4) выписку из Единого государственного реестра юридических лиц, полученную не ранее чем за 30 календарных дней до дня представления заявки;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5) справку об </w:t>
      </w:r>
      <w:r>
        <w:t>исполнении некоммерческой организацией обязанности по уплате налогов, сборов, страховых взносов, пеней, штрафов, процентов, выданную налоговым органом по месту постановки некоммерческой организации на учет в налоговом органе по месту ее нахождения не ранее</w:t>
      </w:r>
      <w:r>
        <w:t xml:space="preserve"> 30 календарных дней до дня представления заявки;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lastRenderedPageBreak/>
        <w:t>5.1)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организации, содержащую сведе</w:t>
      </w:r>
      <w:r>
        <w:t>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</w:t>
      </w:r>
      <w:r>
        <w:t>ой правовым актом Министерства;</w:t>
      </w:r>
    </w:p>
    <w:p w:rsidR="00000000" w:rsidRDefault="006F7EA9">
      <w:pPr>
        <w:pStyle w:val="ConsPlusNormal"/>
        <w:jc w:val="both"/>
      </w:pPr>
      <w:r>
        <w:t xml:space="preserve">(пп. 5.1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09.03.2022 N 111-П)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6) справку о соответств</w:t>
      </w:r>
      <w:r>
        <w:t xml:space="preserve">ии некоммерческой организации требованиям, установленным </w:t>
      </w:r>
      <w:hyperlink w:anchor="Par57" w:tooltip="4) некоммерческая организация не должна получать средства областного бюджета Ульяновской области в соответствии с иными правовыми актами на цели, указанные в пункте 3 настоящих Правил;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ar64" w:tooltip="8) некоммерческ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ек." w:history="1">
        <w:r>
          <w:rPr>
            <w:color w:val="0000FF"/>
          </w:rPr>
          <w:t>8 пункта 5</w:t>
        </w:r>
      </w:hyperlink>
      <w:r>
        <w:t xml:space="preserve"> настоящих Правил, составленную в произвольной форме и подписанную руководителем некоммерческой организации;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7) список членов некоммерче</w:t>
      </w:r>
      <w:r>
        <w:t>ской организации, подписанный руководителем некоммерческой организации.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8. Прием и регистрация заявок осуществляется Министерством в день их приема в порядке поступления, о чем делается запись в журнале регистрации заявок, страницы которого нумеруются, про</w:t>
      </w:r>
      <w:r>
        <w:t>шнуровываются и скрепляются печатью Министерства. На заявке ставится отметка о дате и времени ее регистрации. Форма журнала регистрации заявок устанавливается правовым актом Министерства.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Некоммерческая организация вправе отозвать свою заявку до заключения</w:t>
      </w:r>
      <w:r>
        <w:t xml:space="preserve"> соглашения о предоставлении гранта путем представления в Министерство соответствующего заявления, составленного в произвольной форме и подписанного руководителем некоммерческой организации.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9. Министерство в течение 5 рабочих дней со дня окончания срока приема </w:t>
      </w:r>
      <w:r>
        <w:t>заявок: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1) проводит проверку 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</w:t>
      </w:r>
      <w:r>
        <w:t xml:space="preserve">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</w:t>
      </w:r>
      <w:r>
        <w:t>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2) принимает решения о допуске к участию в конкурсном отборе некоммерческой </w:t>
      </w:r>
      <w:r>
        <w:t>организации или об отклонении заявки некоммерческой организации;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информационное сообщение, содержащее перечень некоммерческих о</w:t>
      </w:r>
      <w:r>
        <w:t>рганизаций, допущенных Министерством к участию в конкурсном отборе, и перечень некоммерческих организаций, заявки которых отклонены Министерством, с указанием обстоятельств, ставших основаниями для принятия соответствующего решения, и требований, которым н</w:t>
      </w:r>
      <w:r>
        <w:t>е соответствуют такие заявки;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lastRenderedPageBreak/>
        <w:t xml:space="preserve">4) направляет некоммерческим организациям, заявки которых отклонены Министерством, уведомления, содержащие сведения об обстоятельствах, ставших в соответствии с </w:t>
      </w:r>
      <w:hyperlink w:anchor="Par110" w:tooltip="10. Министерство принимает решение об отклонении заявки некоммерческой организации в случаях:" w:history="1">
        <w:r>
          <w:rPr>
            <w:color w:val="0000FF"/>
          </w:rPr>
          <w:t>пунктом 10</w:t>
        </w:r>
      </w:hyperlink>
      <w:r>
        <w:t xml:space="preserve"> настоящих Правил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000000" w:rsidRDefault="006F7EA9">
      <w:pPr>
        <w:pStyle w:val="ConsPlusNormal"/>
        <w:jc w:val="both"/>
      </w:pPr>
      <w:r>
        <w:t xml:space="preserve">(п. 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6" w:name="Par110"/>
      <w:bookmarkEnd w:id="6"/>
      <w:r>
        <w:t>10. Министерство принимает решение об отклонении заявки некоммерческой</w:t>
      </w:r>
      <w:r>
        <w:t xml:space="preserve"> организации в случаях: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1) несоответствия некоммерческой организ</w:t>
      </w:r>
      <w:r>
        <w:t xml:space="preserve">ации требованиям, установленным </w:t>
      </w:r>
      <w:hyperlink w:anchor="Par52" w:tooltip="5. Участниками конкурсного отбора могут быть некоммерческие организации, которые по состоянию на дату представления в Министерство документов (копий документов), необходимых для участия в конкурсном отборе, соответствуют следующим требованиям: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2) представления некоммерческой организацией заявки после окончания срока приема заявок, указанного в объявлении;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3) представления некоммерческой организацией заявки и (или) документов (копий документов) не в полном объеме либо с нарушением пред</w:t>
      </w:r>
      <w:r>
        <w:t>ъявляемых к ним требований, указанных в объявлении, либо наличия в заявке и (или) иных представленных документах неполных и (или) недостоверных сведений, в том числе о месте нахождения и адресе некоммерческой организации;</w:t>
      </w:r>
    </w:p>
    <w:p w:rsidR="00000000" w:rsidRDefault="006F7EA9">
      <w:pPr>
        <w:pStyle w:val="ConsPlusNormal"/>
        <w:jc w:val="both"/>
      </w:pPr>
      <w:r>
        <w:t xml:space="preserve">(пп.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4) отзыва заявки.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11. Для определения победителя конкурсного отбора Министерство создает конкурсную комиссию (далее - конкурсная комиссия). По</w:t>
      </w:r>
      <w:r>
        <w:t>ложение о конкурсной комиссии и ее состав утверждаются правовым актом Министерства.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Конкурсная комиссия формируется в составе председателя, заместителя председателя, секретаря и членов конкурсной комиссии. В состав конкурсной комиссии включаются представит</w:t>
      </w:r>
      <w:r>
        <w:t xml:space="preserve">ели исполнительных органов государственной власти Ульяновской области, Законодательного Собрания Ульяновской области (по согласованию), а также по согласованию представители организаций, деятельность которых направлена в том числе на развитие садоводства. </w:t>
      </w:r>
      <w:r>
        <w:t>Число представителей исполнительных органов государственной власти Ульяновской области, включенных в состав конкурсной комиссии в качестве членов конкурсной комиссии, не должно превышать половины общего числа членов конкурсной комиссии. Председатель, замес</w:t>
      </w:r>
      <w:r>
        <w:t>титель председателя, секретарь и члены конкурсной комиссии участвуют в деятельности конкурсной комиссии на безвозмездной основе.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</w:t>
      </w:r>
      <w:r>
        <w:t>ны лично участвовать в заседании конкурсной комиссии и не вправе делегировать свои полномочия другим лицам.</w:t>
      </w:r>
    </w:p>
    <w:p w:rsidR="00000000" w:rsidRDefault="006F7EA9">
      <w:pPr>
        <w:pStyle w:val="ConsPlusNormal"/>
        <w:jc w:val="both"/>
      </w:pPr>
      <w:r>
        <w:lastRenderedPageBreak/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</w:t>
      </w:r>
      <w:r>
        <w:t>конкурсного отбора, обязаны до начала деятельности конкурсной комиссии письменно уведомить об этом председателя конкурсной комиссии.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12. Конкурсная комиссия оценивает некоммерческие организации, допущенные к участию в конкурсном отборе, и проекты, представленные такими некоммерческими организациями, в течение 5 </w:t>
      </w:r>
      <w:r>
        <w:t>рабочих дней со дня принятия Министерством решения о допуске к участию в конкурсном отборе последней некоммерческой организации из числа представивших документы (копии документов), необходимые для участия в конкурсном отборе, с применением балльной системы</w:t>
      </w:r>
      <w:r>
        <w:t xml:space="preserve"> в диапазоне от 1 до 3 баллов, согласно следующим критериям: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некоммерческой организации: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а) от </w:t>
      </w:r>
      <w:r>
        <w:t>2 до 10 включительно - 1 балл;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б) от 11 до 40 включительно - 2 балла;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в) более 41 - 3 балла;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2) планируемое количество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число их членов, жителей Ульяновской области, не являющихс</w:t>
      </w:r>
      <w:r>
        <w:t>я членами таких товариществ: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а) до 500 включительно - 1 балл;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б) от 501 до 1000 включительно - 2 балла;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в) более 1001 - 3 балла;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7" w:name="Par135"/>
      <w:bookmarkEnd w:id="7"/>
      <w:r>
        <w:t>3) соответствие мероприятий, планируемых к осуществлению в процессе реализации проекта, целям его реализации;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8" w:name="Par136"/>
      <w:bookmarkEnd w:id="8"/>
      <w:r>
        <w:t>4) финансово-экономическая обоснованность объема запрашиваемого гранта.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Члены конкурсной комиссии по результатам оценки соответствия представленного некоммерческой организацией, допущенной к участию в конкурсном отборе, проекта критериям, установлен</w:t>
      </w:r>
      <w:r>
        <w:t xml:space="preserve">ным </w:t>
      </w:r>
      <w:hyperlink w:anchor="Par135" w:tooltip="3) соответствие мероприятий, планируемых к осуществлению в процессе реализации проекта, целям его реализации;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ar136" w:tooltip="4) финансово-экономическая обоснованность объема запрашиваемого гранта." w:history="1">
        <w:r>
          <w:rPr>
            <w:color w:val="0000FF"/>
          </w:rPr>
          <w:t>4</w:t>
        </w:r>
      </w:hyperlink>
      <w:r>
        <w:t xml:space="preserve"> настоящего пункта, выставляют 1 балл, если проект не соответствует соответствующему критерию, 2 балла - если проект частично соответствует соответствующему критерию, и 3 балла - если проект полностью соответствует соответствующему критерию.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Число балло</w:t>
      </w:r>
      <w:r>
        <w:t xml:space="preserve">в, выставленных всеми членами конкурсной комиссии в процессе оценки </w:t>
      </w:r>
      <w:r>
        <w:lastRenderedPageBreak/>
        <w:t>каждого проекта, представленного каждой некоммерческой организацией, допущенной к участию в конкурсном отборе, суммируются.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Результаты указанной оценки отражаются в протоколе заседания кон</w:t>
      </w:r>
      <w:r>
        <w:t>курсной комиссии (далее - протокол), в котором также должны содержаться: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</w:t>
      </w:r>
      <w:r>
        <w:t>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наименование некоммерческой организации, признанной победителем конкурсного отбора;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объем гранта, предоставляемого некоммерческой организации, признанной победителем конкурсного отбора;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перечень некоммерческих организаций, не признанных победителями конкурсного отбора.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Протокол оформляется не позднее двух рабочих дней со дня проведения заседания конкурсной комиссии и не позднее первого рабочег</w:t>
      </w:r>
      <w:r>
        <w:t>о дня, следующего за днем его подписания председательствующим на заседании конкурсной комиссии и секретарем конкурсной комиссии, передается в Министерство.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</w:t>
      </w:r>
      <w:r>
        <w:t>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13. Победителем конкурсного отбора признается некоммерческая организация, получившая наибольшее число баллов.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 случае если две и более некоммерческие организации получили равное наибольшее число баллов, победителем конкур</w:t>
      </w:r>
      <w:r>
        <w:t>сного отбора признается одна из числа указанных некоммерческих организаций, которая представила заявку ранее других таких некоммерческих организаций.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14. Министерство в течение 3 рабочих дней со дня проведения заседания конкурсной комиссии: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1) принимает ре</w:t>
      </w:r>
      <w:r>
        <w:t>шение о предоставлении гранта некоммерческой организации, ставшей победителем конкурсного отбора (далее - получатель гранта), или об отказе в предоставлении гранта в отношении некоммерческой организации, не ставшей победителем конкурсного отбора. Решение М</w:t>
      </w:r>
      <w:r>
        <w:t>инистерства о предоставлении гранта получателю гранта или об отказе в предоставлении гранта в отношении некоммерческой организации, не ставшей победителем конкурсного отбора отражается в уведомлении о принятом решении (далее - уведомление), которое не позд</w:t>
      </w:r>
      <w:r>
        <w:t>нее пяти рабочих дней со дня подписания протокола заседания комиссии направляется некоммерческой организации в форме, обеспечивающей возможность подтверждения факта направления уведомления. При этом в случае принятия решения об отказе в предоставлении гран</w:t>
      </w:r>
      <w:r>
        <w:t>та в отношении некоммерческой организации, не ставшей победителем конкурсного отбора, в уведомлении излагаются обстоятельства, послужившие основанием для его принятия;</w:t>
      </w:r>
    </w:p>
    <w:p w:rsidR="00000000" w:rsidRDefault="006F7EA9">
      <w:pPr>
        <w:pStyle w:val="ConsPlusNormal"/>
        <w:jc w:val="both"/>
      </w:pPr>
      <w:r>
        <w:t xml:space="preserve">(пп. 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10.08.2021 N 365-П)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lastRenderedPageBreak/>
        <w:t xml:space="preserve">2)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Ульяновской области от 10.08.2021 N 365-П;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информацию о результатах рассмотрения заявок, включающую следующие све</w:t>
      </w:r>
      <w:r>
        <w:t>дения: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дату, время и место рассмотрения заявок;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дату, время и место оценки некоммерческих организаций и их проектов;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информацию о некоммерческих организациях, заявки которых были рассмотрены;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информацию о некоммерческих организациях,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последовательность оценки некоммерческих организаций и их проектов, присвоен</w:t>
      </w:r>
      <w:r>
        <w:t>ные некоммерческим организациям значения по каждому из предусмотренных критериев оценки;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наименование некоммерческой организации, с которой заключается соглашение о предоставлении гранта, и размер предоставляемого ей гранта.</w:t>
      </w:r>
    </w:p>
    <w:p w:rsidR="00000000" w:rsidRDefault="006F7EA9">
      <w:pPr>
        <w:pStyle w:val="ConsPlusNormal"/>
        <w:jc w:val="both"/>
      </w:pPr>
      <w:r>
        <w:t xml:space="preserve">(пп. 3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15. Министерство в течение 10 рабочих дней со дня принятия решения о предоставлении гран</w:t>
      </w:r>
      <w:r>
        <w:t>та заключает с получателем гранта соглашение о предоставлении гранта в соответствии с типовой формой, установленной Министерством финансов Ульяновской области.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Если в течение указанного срока соглашение о предоставлении гранта не заключено по вине получателя гранта, получатель гранта утрачивает право на получение грант</w:t>
      </w:r>
      <w:r>
        <w:t>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В случае отзыва получателем гранта своей заявки до заключения соглашения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и об отказе </w:t>
      </w:r>
      <w:r>
        <w:t>в предоставлении ему гранта, запись об этом вносится в журнал регистрации, и такой некоммерческой организации направляется уведомление о принятом решении регистрируемым почтовым отправлением.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16. Соглашение о предоставлении гранта должно содержать: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1) цели, условия и порядок предоставления гранта, а также его об</w:t>
      </w:r>
      <w:r>
        <w:t>ъем и срок перечисления;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2) срок использования гранта;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3) перечень затрат получателя гранта в связи с реализацией проекта, финансовое обеспечение которых будет осуществляться за счет гранта;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4) значения результатов предоставления гранта;</w:t>
      </w:r>
    </w:p>
    <w:p w:rsidR="00000000" w:rsidRDefault="006F7EA9">
      <w:pPr>
        <w:pStyle w:val="ConsPlusNormal"/>
        <w:jc w:val="both"/>
      </w:pPr>
      <w:r>
        <w:lastRenderedPageBreak/>
        <w:t xml:space="preserve">(пп. 4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5) обязанность получателя гранта представлять в Министерство отчетность, устан</w:t>
      </w:r>
      <w:r>
        <w:t xml:space="preserve">овленную </w:t>
      </w:r>
      <w:hyperlink w:anchor="Par188" w:tooltip="16.2. Получатель гранта не позднее 10 рабочего дня месяца, следующего за месяцем окончания срока использования гранта, установленного в соглашении о предоставлении гранта, представляет в Министерство отчет об осуществлении затрат, источником финансового обеспечения которых является грант, и отчет о достижении результатов предоставления гранта, составленные по форме, определенной типовой формой соглашения о предоставлении из областного бюджета Ульяновской области грантов в форме субсидий, которая установл..." w:history="1">
        <w:r>
          <w:rPr>
            <w:color w:val="0000FF"/>
          </w:rPr>
          <w:t>пунктом 16.2</w:t>
        </w:r>
      </w:hyperlink>
      <w:r>
        <w:t xml:space="preserve"> настоящих Правил, а также перечень документов, подтверждающих использование гранта и соблюдение условий реализации проекта.</w:t>
      </w:r>
    </w:p>
    <w:p w:rsidR="00000000" w:rsidRDefault="006F7EA9">
      <w:pPr>
        <w:pStyle w:val="ConsPlusNormal"/>
        <w:jc w:val="both"/>
      </w:pPr>
      <w:r>
        <w:t xml:space="preserve">(пп. 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6) утратил силу. - </w:t>
      </w:r>
      <w:hyperlink r:id="rId57" w:history="1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Правительства Ульяновской области от 21.07.2020 N 382-П;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9" w:name="Par177"/>
      <w:bookmarkEnd w:id="9"/>
      <w:r>
        <w:t>7) согласие получателя гранта на осуществление Министерством проверок соблюдения получателем гранта условий, целей и порядка, установленных при предоставлении гранта, в том числе в</w:t>
      </w:r>
      <w:r>
        <w:t xml:space="preserve"> части достижения результатов предоставления гранта, а также на осуществление органами государственного финансового контроля проверок в соответствии со </w:t>
      </w:r>
      <w:hyperlink r:id="rId58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59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6F7EA9">
      <w:pPr>
        <w:pStyle w:val="ConsPlusNormal"/>
        <w:jc w:val="both"/>
      </w:pPr>
      <w:r>
        <w:t xml:space="preserve">(пп. 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09.03.2022 N 111-П)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10" w:name="Par179"/>
      <w:bookmarkEnd w:id="10"/>
      <w:r>
        <w:t>8) обязанность получателя гранта включать в договоры (соглашения), заключенные в целях исполнения обязательств получателя гран</w:t>
      </w:r>
      <w:r>
        <w:t xml:space="preserve">та 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</w:t>
      </w:r>
      <w:r>
        <w:t>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усл</w:t>
      </w:r>
      <w:r>
        <w:t xml:space="preserve">овий, целей и порядка, установленных при предоставлении гранта, а также на осуществление органами государственного финансового контроля Ульяновской области проверок в соответствии со </w:t>
      </w:r>
      <w:hyperlink r:id="rId61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62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6F7EA9">
      <w:pPr>
        <w:pStyle w:val="ConsPlusNormal"/>
        <w:jc w:val="both"/>
      </w:pPr>
      <w:r>
        <w:t xml:space="preserve">(пп. 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09.03.2022 N 111-П)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9) запрет приобретения за счет гранта иностранной валюты, за исключением операций, осуществляемых в соответ</w:t>
      </w:r>
      <w:r>
        <w:t>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гранта, определенных настоящими Правилами.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 сл</w:t>
      </w:r>
      <w:r>
        <w:t xml:space="preserve">учае уменьшения Министерству ранее доведенных до него лимитов бюджетных обязательств на предоставление гранта, приводящего к невозможности предоставления гранта его получателю в объеме, сведения о котором содержатся в соглашении о предоставлении гранта, в </w:t>
      </w:r>
      <w:r>
        <w:t>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недостижения Министерством и получателем гранта согласия относительн</w:t>
      </w:r>
      <w:r>
        <w:t>о таких новых условий.</w:t>
      </w:r>
    </w:p>
    <w:p w:rsidR="00000000" w:rsidRDefault="006F7EA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11" w:name="Par184"/>
      <w:bookmarkEnd w:id="11"/>
      <w:r>
        <w:t>16.1. Результатами</w:t>
      </w:r>
      <w:r>
        <w:t xml:space="preserve"> предоставления гранта являются: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1) 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</w:t>
      </w:r>
      <w:r>
        <w:t xml:space="preserve">ами таких товариществ, </w:t>
      </w:r>
      <w:r>
        <w:lastRenderedPageBreak/>
        <w:t>по вопросам развития садоводства;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2) количество проведенных мероприятий (обучающих семинаров, конференций, совещаний (в том числе выездных) по вопросам развития садоводства.</w:t>
      </w:r>
    </w:p>
    <w:p w:rsidR="00000000" w:rsidRDefault="006F7EA9">
      <w:pPr>
        <w:pStyle w:val="ConsPlusNormal"/>
        <w:jc w:val="both"/>
      </w:pPr>
      <w:r>
        <w:t xml:space="preserve">(п. 16.1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bookmarkStart w:id="12" w:name="Par188"/>
      <w:bookmarkEnd w:id="12"/>
      <w:r>
        <w:t>16.2. Получатель гранта не позднее 10 рабочего дня месяца, следующего за месяцем окончания срока испол</w:t>
      </w:r>
      <w:r>
        <w:t>ьзования гранта, установленного в соглашении о предоставлении гранта, представляет в Министерство отчет об осуществлении затрат, источником финансового обеспечения которых является грант, и отчет о достижении результатов предоставления гранта, составленные</w:t>
      </w:r>
      <w:r>
        <w:t xml:space="preserve"> по форме, определенной типовой формой соглашения о предоставлении из областного бюджета Ульяновской области грантов в форме субсидий, которая установлена Министерством финансов Ульяновской области.</w:t>
      </w:r>
    </w:p>
    <w:p w:rsidR="00000000" w:rsidRDefault="006F7EA9">
      <w:pPr>
        <w:pStyle w:val="ConsPlusNormal"/>
        <w:jc w:val="both"/>
      </w:pPr>
      <w:r>
        <w:t xml:space="preserve">(п. 16.2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17. Грант перечисляется единовременно в срок, установленный соглашением о предоставлении гранта. Грант перечисляе</w:t>
      </w:r>
      <w:r>
        <w:t>тся с лицевого счета Министерства, открытого в Министерстве финансов Ульяновской области, на счет, открытый получателю гранта в российской кредитной организации.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18. Министерство обеспечивает соблюдение получателем гранта условий, целей и порядка, установл</w:t>
      </w:r>
      <w:r>
        <w:t>енных при предоставлении гранта.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Министерство и органы государственного финансового контроля осуществляют проверки, указанные в </w:t>
      </w:r>
      <w:hyperlink w:anchor="Par177" w:tooltip="7) согласие получателя гранта на осуществление Министерством проверок соблюдения получателем гранта условий, целей и порядка, установленных при предоставлении гранта, в том числе в части достижения результатов предоставления гранта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;" w:history="1">
        <w:r>
          <w:rPr>
            <w:color w:val="0000FF"/>
          </w:rPr>
          <w:t>подпунктах 7</w:t>
        </w:r>
      </w:hyperlink>
      <w:r>
        <w:t xml:space="preserve"> и </w:t>
      </w:r>
      <w:hyperlink w:anchor="Par179" w:tooltip="8) обязанность получателя гранта включать в договоры (соглашения), заключенные в целях исполнения обязательств получателя гранта 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..." w:history="1">
        <w:r>
          <w:rPr>
            <w:color w:val="0000FF"/>
          </w:rPr>
          <w:t>8 пункта 16</w:t>
        </w:r>
      </w:hyperlink>
      <w:r>
        <w:t xml:space="preserve"> настоящих Правил.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Ульяновской области от 09.03.2022 N 111-П)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19. В случае нарушения получателем гранта целей, условий и (или) порядка предоставления гранта или установления факта представления ложных либо намеренно искаженных сведений, выявленных по результатам прове</w:t>
      </w:r>
      <w:r>
        <w:t>денных Министерством или органами государственного финансового контроля проверок, грант подлежит возврату в областной бюджет Ульяновской области в полном объеме.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 случае недостижения получателем гранта результатов предоставления гранта грант подлежит возв</w:t>
      </w:r>
      <w:r>
        <w:t>рату в областной бюджет Ульяновской области в объеме, пропорциональном величине недостигнутых результатов.</w:t>
      </w:r>
    </w:p>
    <w:p w:rsidR="00000000" w:rsidRDefault="006F7EA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Ульяновской области от 21.07.2020 N 382-П)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Министерство обеспечивает возврат гранта в областной бюджет Ульяновской области путем направления получателю гранта в срок, не превышающий 30 календарных дней со дня установления обстоятельств, являющихся основани</w:t>
      </w:r>
      <w:r>
        <w:t>ями для возврата гранта в областной бюджет Ульяновской области в соответствии с настоящим пунктом, требования о возврате гранта в течение 10 календарных дней со дня получения указанного требования.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20. Возврат гранта осуществляется получателем гранта в сле</w:t>
      </w:r>
      <w:r>
        <w:t>дующем порядке: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 xml:space="preserve">возврат гранта в период до 25 декабря текущего финансового года включительно осуществляется на лицевой счет Министерства, с которого грант был перечислен на счет, </w:t>
      </w:r>
      <w:r>
        <w:lastRenderedPageBreak/>
        <w:t>открытый получателю гранта в российской кредитной организации;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возврат гранта</w:t>
      </w:r>
      <w:r>
        <w:t xml:space="preserve">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гранта.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В случае отказа или уклонения получателя гранта от добровольного возврата гранта в</w:t>
      </w:r>
      <w:r>
        <w:t xml:space="preserve">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000000" w:rsidRDefault="006F7EA9">
      <w:pPr>
        <w:pStyle w:val="ConsPlusNormal"/>
        <w:spacing w:before="240"/>
        <w:ind w:firstLine="540"/>
        <w:jc w:val="both"/>
      </w:pPr>
      <w:r>
        <w:t>21. Средства, образовавшиеся в результате возврата гранта, подлежат возврату Министерством в доход об</w:t>
      </w:r>
      <w:r>
        <w:t>ластного бюджета Ульяновской области в установленном законодательством порядке.</w:t>
      </w: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right"/>
        <w:outlineLvl w:val="1"/>
      </w:pPr>
      <w:r>
        <w:t>Приложение</w:t>
      </w:r>
    </w:p>
    <w:p w:rsidR="00000000" w:rsidRDefault="006F7EA9">
      <w:pPr>
        <w:pStyle w:val="ConsPlusNormal"/>
        <w:jc w:val="right"/>
      </w:pPr>
      <w:r>
        <w:t>к Правилам</w:t>
      </w: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center"/>
      </w:pPr>
      <w:r>
        <w:t>ОТЧЕТ</w:t>
      </w:r>
    </w:p>
    <w:p w:rsidR="00000000" w:rsidRDefault="006F7EA9">
      <w:pPr>
        <w:pStyle w:val="ConsPlusNormal"/>
        <w:jc w:val="center"/>
      </w:pPr>
      <w:r>
        <w:t>о достижении результатов предоставления гранта</w:t>
      </w:r>
    </w:p>
    <w:p w:rsidR="00000000" w:rsidRDefault="006F7EA9">
      <w:pPr>
        <w:pStyle w:val="ConsPlusNormal"/>
        <w:jc w:val="center"/>
      </w:pPr>
      <w:r>
        <w:t>по состоянию на __ ___________ 20__ года</w:t>
      </w: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ind w:firstLine="540"/>
        <w:jc w:val="both"/>
      </w:pPr>
      <w:r>
        <w:t xml:space="preserve">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000000" w:rsidRDefault="006F7EA9">
      <w:pPr>
        <w:pStyle w:val="ConsPlusNormal"/>
        <w:jc w:val="both"/>
      </w:pPr>
    </w:p>
    <w:p w:rsidR="00000000" w:rsidRDefault="006F7EA9">
      <w:pPr>
        <w:pStyle w:val="ConsPlusNormal"/>
        <w:jc w:val="both"/>
      </w:pPr>
    </w:p>
    <w:p w:rsidR="006F7EA9" w:rsidRDefault="006F7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7EA9">
      <w:headerReference w:type="default" r:id="rId70"/>
      <w:footerReference w:type="default" r:id="rId7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A9" w:rsidRDefault="006F7EA9" w:rsidP="00CD62CB">
      <w:pPr>
        <w:spacing w:after="0" w:line="240" w:lineRule="auto"/>
      </w:pPr>
      <w:r>
        <w:separator/>
      </w:r>
    </w:p>
  </w:endnote>
  <w:endnote w:type="continuationSeparator" w:id="0">
    <w:p w:rsidR="006F7EA9" w:rsidRDefault="006F7EA9" w:rsidP="00CD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7E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EA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EA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EA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3C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CBC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3C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CBC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F7EA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A9" w:rsidRDefault="006F7EA9" w:rsidP="00CD62CB">
      <w:pPr>
        <w:spacing w:after="0" w:line="240" w:lineRule="auto"/>
      </w:pPr>
      <w:r>
        <w:separator/>
      </w:r>
    </w:p>
  </w:footnote>
  <w:footnote w:type="continuationSeparator" w:id="0">
    <w:p w:rsidR="006F7EA9" w:rsidRDefault="006F7EA9" w:rsidP="00CD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EA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19.08.2019 N</w:t>
          </w:r>
          <w:r>
            <w:rPr>
              <w:rFonts w:ascii="Tahoma" w:hAnsi="Tahoma" w:cs="Tahoma"/>
              <w:sz w:val="16"/>
              <w:szCs w:val="16"/>
            </w:rPr>
            <w:t xml:space="preserve"> 400-П</w:t>
          </w:r>
          <w:r>
            <w:rPr>
              <w:rFonts w:ascii="Tahoma" w:hAnsi="Tahoma" w:cs="Tahoma"/>
              <w:sz w:val="16"/>
              <w:szCs w:val="16"/>
            </w:rPr>
            <w:br/>
            <w:t>(ред. от 09.03.2022)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EA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03.06.2022</w:t>
          </w:r>
        </w:p>
      </w:tc>
    </w:tr>
  </w:tbl>
  <w:p w:rsidR="00000000" w:rsidRDefault="006F7E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7E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05577"/>
    <w:rsid w:val="00305577"/>
    <w:rsid w:val="006F7EA9"/>
    <w:rsid w:val="00B4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4951&amp;date=03.06.2022&amp;dst=103432&amp;field=134" TargetMode="External"/><Relationship Id="rId18" Type="http://schemas.openxmlformats.org/officeDocument/2006/relationships/hyperlink" Target="https://login.consultant.ru/link/?req=doc&amp;base=RLAW076&amp;n=62848&amp;date=03.06.2022&amp;dst=100176&amp;field=134" TargetMode="External"/><Relationship Id="rId26" Type="http://schemas.openxmlformats.org/officeDocument/2006/relationships/hyperlink" Target="https://login.consultant.ru/link/?req=doc&amp;base=RLAW076&amp;n=58751&amp;date=03.06.2022&amp;dst=100013&amp;field=134" TargetMode="External"/><Relationship Id="rId39" Type="http://schemas.openxmlformats.org/officeDocument/2006/relationships/hyperlink" Target="https://login.consultant.ru/link/?req=doc&amp;base=RLAW076&amp;n=58694&amp;date=03.06.2022&amp;dst=100366&amp;field=134" TargetMode="External"/><Relationship Id="rId21" Type="http://schemas.openxmlformats.org/officeDocument/2006/relationships/hyperlink" Target="https://login.consultant.ru/link/?req=doc&amp;base=RLAW076&amp;n=58694&amp;date=03.06.2022&amp;dst=100329&amp;field=134" TargetMode="External"/><Relationship Id="rId34" Type="http://schemas.openxmlformats.org/officeDocument/2006/relationships/hyperlink" Target="https://login.consultant.ru/link/?req=doc&amp;base=RLAW076&amp;n=62723&amp;date=03.06.2022&amp;dst=100333&amp;field=134" TargetMode="External"/><Relationship Id="rId42" Type="http://schemas.openxmlformats.org/officeDocument/2006/relationships/hyperlink" Target="https://login.consultant.ru/link/?req=doc&amp;base=RLAW076&amp;n=58751&amp;date=03.06.2022&amp;dst=100021&amp;field=134" TargetMode="External"/><Relationship Id="rId47" Type="http://schemas.openxmlformats.org/officeDocument/2006/relationships/hyperlink" Target="https://login.consultant.ru/link/?req=doc&amp;base=RLAW076&amp;n=58751&amp;date=03.06.2022&amp;dst=100028&amp;field=134" TargetMode="External"/><Relationship Id="rId50" Type="http://schemas.openxmlformats.org/officeDocument/2006/relationships/hyperlink" Target="https://login.consultant.ru/link/?req=doc&amp;base=RLAW076&amp;n=62848&amp;date=03.06.2022&amp;dst=100178&amp;field=134" TargetMode="External"/><Relationship Id="rId55" Type="http://schemas.openxmlformats.org/officeDocument/2006/relationships/hyperlink" Target="https://login.consultant.ru/link/?req=doc&amp;base=RLAW076&amp;n=58751&amp;date=03.06.2022&amp;dst=100031&amp;field=134" TargetMode="External"/><Relationship Id="rId63" Type="http://schemas.openxmlformats.org/officeDocument/2006/relationships/hyperlink" Target="https://login.consultant.ru/link/?req=doc&amp;base=RLAW076&amp;n=62723&amp;date=03.06.2022&amp;dst=100337&amp;field=134" TargetMode="External"/><Relationship Id="rId68" Type="http://schemas.openxmlformats.org/officeDocument/2006/relationships/hyperlink" Target="https://login.consultant.ru/link/?req=doc&amp;base=RLAW076&amp;n=58751&amp;date=03.06.2022&amp;dst=100040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6&amp;n=58751&amp;date=03.06.2022&amp;dst=100008&amp;field=134" TargetMode="External"/><Relationship Id="rId29" Type="http://schemas.openxmlformats.org/officeDocument/2006/relationships/hyperlink" Target="https://login.consultant.ru/link/?req=doc&amp;base=RLAW076&amp;n=58751&amp;date=03.06.2022&amp;dst=100015&amp;field=134" TargetMode="External"/><Relationship Id="rId11" Type="http://schemas.openxmlformats.org/officeDocument/2006/relationships/hyperlink" Target="https://login.consultant.ru/link/?req=doc&amp;base=RLAW076&amp;n=62848&amp;date=03.06.2022&amp;dst=100176&amp;field=134" TargetMode="External"/><Relationship Id="rId24" Type="http://schemas.openxmlformats.org/officeDocument/2006/relationships/hyperlink" Target="https://login.consultant.ru/link/?req=doc&amp;base=RLAW076&amp;n=58751&amp;date=03.06.2022&amp;dst=100012&amp;field=134" TargetMode="External"/><Relationship Id="rId32" Type="http://schemas.openxmlformats.org/officeDocument/2006/relationships/hyperlink" Target="https://login.consultant.ru/link/?req=doc&amp;base=RLAW076&amp;n=58694&amp;date=03.06.2022&amp;dst=100353&amp;field=134" TargetMode="External"/><Relationship Id="rId37" Type="http://schemas.openxmlformats.org/officeDocument/2006/relationships/hyperlink" Target="https://login.consultant.ru/link/?req=doc&amp;base=RLAW076&amp;n=58694&amp;date=03.06.2022&amp;dst=100364&amp;field=134" TargetMode="External"/><Relationship Id="rId40" Type="http://schemas.openxmlformats.org/officeDocument/2006/relationships/hyperlink" Target="https://login.consultant.ru/link/?req=doc&amp;base=RLAW076&amp;n=58694&amp;date=03.06.2022&amp;dst=100370&amp;field=134" TargetMode="External"/><Relationship Id="rId45" Type="http://schemas.openxmlformats.org/officeDocument/2006/relationships/hyperlink" Target="https://login.consultant.ru/link/?req=doc&amp;base=RLAW076&amp;n=58751&amp;date=03.06.2022&amp;dst=100025&amp;field=134" TargetMode="External"/><Relationship Id="rId53" Type="http://schemas.openxmlformats.org/officeDocument/2006/relationships/hyperlink" Target="https://login.consultant.ru/link/?req=doc&amp;base=RLAW076&amp;n=58694&amp;date=03.06.2022&amp;dst=100381&amp;field=134" TargetMode="External"/><Relationship Id="rId58" Type="http://schemas.openxmlformats.org/officeDocument/2006/relationships/hyperlink" Target="https://login.consultant.ru/link/?req=doc&amp;base=LAW&amp;n=414951&amp;date=03.06.2022&amp;dst=3704&amp;field=134" TargetMode="External"/><Relationship Id="rId66" Type="http://schemas.openxmlformats.org/officeDocument/2006/relationships/hyperlink" Target="https://login.consultant.ru/link/?req=doc&amp;base=RLAW076&amp;n=58694&amp;date=03.06.2022&amp;dst=10038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76&amp;n=58751&amp;date=03.06.2022&amp;dst=100006&amp;field=134" TargetMode="External"/><Relationship Id="rId23" Type="http://schemas.openxmlformats.org/officeDocument/2006/relationships/hyperlink" Target="https://login.consultant.ru/link/?req=doc&amp;base=RLAW076&amp;n=58751&amp;date=03.06.2022&amp;dst=100011&amp;field=134" TargetMode="External"/><Relationship Id="rId28" Type="http://schemas.openxmlformats.org/officeDocument/2006/relationships/hyperlink" Target="https://login.consultant.ru/link/?req=doc&amp;base=RLAW076&amp;n=58694&amp;date=03.06.2022&amp;dst=100333&amp;field=134" TargetMode="External"/><Relationship Id="rId36" Type="http://schemas.openxmlformats.org/officeDocument/2006/relationships/hyperlink" Target="https://login.consultant.ru/link/?req=doc&amp;base=RLAW076&amp;n=58694&amp;date=03.06.2022&amp;dst=100357&amp;field=134" TargetMode="External"/><Relationship Id="rId49" Type="http://schemas.openxmlformats.org/officeDocument/2006/relationships/hyperlink" Target="https://login.consultant.ru/link/?req=doc&amp;base=RLAW076&amp;n=58694&amp;date=03.06.2022&amp;dst=100371&amp;field=134" TargetMode="External"/><Relationship Id="rId57" Type="http://schemas.openxmlformats.org/officeDocument/2006/relationships/hyperlink" Target="https://login.consultant.ru/link/?req=doc&amp;base=RLAW076&amp;n=58751&amp;date=03.06.2022&amp;dst=100034&amp;field=134" TargetMode="External"/><Relationship Id="rId61" Type="http://schemas.openxmlformats.org/officeDocument/2006/relationships/hyperlink" Target="https://login.consultant.ru/link/?req=doc&amp;base=LAW&amp;n=414951&amp;date=03.06.2022&amp;dst=3704&amp;field=134" TargetMode="External"/><Relationship Id="rId10" Type="http://schemas.openxmlformats.org/officeDocument/2006/relationships/hyperlink" Target="https://login.consultant.ru/link/?req=doc&amp;base=RLAW076&amp;n=58694&amp;date=03.06.2022&amp;dst=100326&amp;field=134" TargetMode="External"/><Relationship Id="rId19" Type="http://schemas.openxmlformats.org/officeDocument/2006/relationships/hyperlink" Target="https://login.consultant.ru/link/?req=doc&amp;base=RLAW076&amp;n=62723&amp;date=03.06.2022&amp;dst=100332&amp;field=134" TargetMode="External"/><Relationship Id="rId31" Type="http://schemas.openxmlformats.org/officeDocument/2006/relationships/hyperlink" Target="https://login.consultant.ru/link/?req=doc&amp;base=RLAW076&amp;n=58694&amp;date=03.06.2022&amp;dst=100335&amp;field=134" TargetMode="External"/><Relationship Id="rId44" Type="http://schemas.openxmlformats.org/officeDocument/2006/relationships/hyperlink" Target="https://login.consultant.ru/link/?req=doc&amp;base=RLAW076&amp;n=58751&amp;date=03.06.2022&amp;dst=100024&amp;field=134" TargetMode="External"/><Relationship Id="rId52" Type="http://schemas.openxmlformats.org/officeDocument/2006/relationships/hyperlink" Target="https://login.consultant.ru/link/?req=doc&amp;base=RLAW076&amp;n=58694&amp;date=03.06.2022&amp;dst=100372&amp;field=134" TargetMode="External"/><Relationship Id="rId60" Type="http://schemas.openxmlformats.org/officeDocument/2006/relationships/hyperlink" Target="https://login.consultant.ru/link/?req=doc&amp;base=RLAW076&amp;n=62723&amp;date=03.06.2022&amp;dst=100335&amp;field=134" TargetMode="External"/><Relationship Id="rId65" Type="http://schemas.openxmlformats.org/officeDocument/2006/relationships/hyperlink" Target="https://login.consultant.ru/link/?req=doc&amp;base=RLAW076&amp;n=58751&amp;date=03.06.2022&amp;dst=100035&amp;field=134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6&amp;n=58751&amp;date=03.06.2022&amp;dst=100005&amp;field=134" TargetMode="External"/><Relationship Id="rId14" Type="http://schemas.openxmlformats.org/officeDocument/2006/relationships/hyperlink" Target="https://login.consultant.ru/link/?req=doc&amp;base=RLAW076&amp;n=62528&amp;date=03.06.2022&amp;dst=100009&amp;field=134" TargetMode="External"/><Relationship Id="rId22" Type="http://schemas.openxmlformats.org/officeDocument/2006/relationships/hyperlink" Target="https://login.consultant.ru/link/?req=doc&amp;base=RLAW076&amp;n=58751&amp;date=03.06.2022&amp;dst=100010&amp;field=134" TargetMode="External"/><Relationship Id="rId27" Type="http://schemas.openxmlformats.org/officeDocument/2006/relationships/hyperlink" Target="https://login.consultant.ru/link/?req=doc&amp;base=RLAW076&amp;n=58694&amp;date=03.06.2022&amp;dst=100332&amp;field=134" TargetMode="External"/><Relationship Id="rId30" Type="http://schemas.openxmlformats.org/officeDocument/2006/relationships/hyperlink" Target="https://login.consultant.ru/link/?req=doc&amp;base=RLAW076&amp;n=58751&amp;date=03.06.2022&amp;dst=100016&amp;field=134" TargetMode="External"/><Relationship Id="rId35" Type="http://schemas.openxmlformats.org/officeDocument/2006/relationships/hyperlink" Target="https://login.consultant.ru/link/?req=doc&amp;base=RLAW076&amp;n=58694&amp;date=03.06.2022&amp;dst=100355&amp;field=134" TargetMode="External"/><Relationship Id="rId43" Type="http://schemas.openxmlformats.org/officeDocument/2006/relationships/hyperlink" Target="https://login.consultant.ru/link/?req=doc&amp;base=RLAW076&amp;n=58751&amp;date=03.06.2022&amp;dst=100022&amp;field=134" TargetMode="External"/><Relationship Id="rId48" Type="http://schemas.openxmlformats.org/officeDocument/2006/relationships/hyperlink" Target="https://login.consultant.ru/link/?req=doc&amp;base=RLAW076&amp;n=58751&amp;date=03.06.2022&amp;dst=100029&amp;field=134" TargetMode="External"/><Relationship Id="rId56" Type="http://schemas.openxmlformats.org/officeDocument/2006/relationships/hyperlink" Target="https://login.consultant.ru/link/?req=doc&amp;base=RLAW076&amp;n=58694&amp;date=03.06.2022&amp;dst=100385&amp;field=134" TargetMode="External"/><Relationship Id="rId64" Type="http://schemas.openxmlformats.org/officeDocument/2006/relationships/hyperlink" Target="https://login.consultant.ru/link/?req=doc&amp;base=RLAW076&amp;n=58694&amp;date=03.06.2022&amp;dst=100387&amp;field=134" TargetMode="External"/><Relationship Id="rId69" Type="http://schemas.openxmlformats.org/officeDocument/2006/relationships/hyperlink" Target="https://login.consultant.ru/link/?req=doc&amp;base=RLAW076&amp;n=58694&amp;date=03.06.2022&amp;dst=10039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76&amp;n=62848&amp;date=03.06.2022&amp;dst=100180&amp;field=13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6&amp;n=62723&amp;date=03.06.2022&amp;dst=100332&amp;field=134" TargetMode="External"/><Relationship Id="rId17" Type="http://schemas.openxmlformats.org/officeDocument/2006/relationships/hyperlink" Target="https://login.consultant.ru/link/?req=doc&amp;base=RLAW076&amp;n=58694&amp;date=03.06.2022&amp;dst=100326&amp;field=134" TargetMode="External"/><Relationship Id="rId25" Type="http://schemas.openxmlformats.org/officeDocument/2006/relationships/hyperlink" Target="https://login.consultant.ru/link/?req=doc&amp;base=RLAW076&amp;n=58694&amp;date=03.06.2022&amp;dst=100331&amp;field=134" TargetMode="External"/><Relationship Id="rId33" Type="http://schemas.openxmlformats.org/officeDocument/2006/relationships/hyperlink" Target="https://login.consultant.ru/link/?req=doc&amp;base=RLAW076&amp;n=58694&amp;date=03.06.2022&amp;dst=100354&amp;field=134" TargetMode="External"/><Relationship Id="rId38" Type="http://schemas.openxmlformats.org/officeDocument/2006/relationships/hyperlink" Target="https://login.consultant.ru/link/?req=doc&amp;base=RLAW076&amp;n=58694&amp;date=03.06.2022&amp;dst=100365&amp;field=134" TargetMode="External"/><Relationship Id="rId46" Type="http://schemas.openxmlformats.org/officeDocument/2006/relationships/hyperlink" Target="https://login.consultant.ru/link/?req=doc&amp;base=RLAW076&amp;n=58751&amp;date=03.06.2022&amp;dst=100027&amp;field=134" TargetMode="External"/><Relationship Id="rId59" Type="http://schemas.openxmlformats.org/officeDocument/2006/relationships/hyperlink" Target="https://login.consultant.ru/link/?req=doc&amp;base=LAW&amp;n=414951&amp;date=03.06.2022&amp;dst=3722&amp;field=134" TargetMode="External"/><Relationship Id="rId67" Type="http://schemas.openxmlformats.org/officeDocument/2006/relationships/hyperlink" Target="https://login.consultant.ru/link/?req=doc&amp;base=RLAW076&amp;n=62723&amp;date=03.06.2022&amp;dst=100338&amp;field=134" TargetMode="External"/><Relationship Id="rId20" Type="http://schemas.openxmlformats.org/officeDocument/2006/relationships/hyperlink" Target="https://login.consultant.ru/link/?req=doc&amp;base=RLAW076&amp;n=58694&amp;date=03.06.2022&amp;dst=100327&amp;field=134" TargetMode="External"/><Relationship Id="rId41" Type="http://schemas.openxmlformats.org/officeDocument/2006/relationships/hyperlink" Target="https://login.consultant.ru/link/?req=doc&amp;base=RLAW076&amp;n=58751&amp;date=03.06.2022&amp;dst=100019&amp;field=134" TargetMode="External"/><Relationship Id="rId54" Type="http://schemas.openxmlformats.org/officeDocument/2006/relationships/hyperlink" Target="https://login.consultant.ru/link/?req=doc&amp;base=RLAW076&amp;n=58694&amp;date=03.06.2022&amp;dst=100382&amp;field=134" TargetMode="External"/><Relationship Id="rId62" Type="http://schemas.openxmlformats.org/officeDocument/2006/relationships/hyperlink" Target="https://login.consultant.ru/link/?req=doc&amp;base=LAW&amp;n=414951&amp;date=03.06.2022&amp;dst=3722&amp;field=134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6519</Words>
  <Characters>37162</Characters>
  <Application>Microsoft Office Word</Application>
  <DocSecurity>2</DocSecurity>
  <Lines>309</Lines>
  <Paragraphs>87</Paragraphs>
  <ScaleCrop>false</ScaleCrop>
  <Company>КонсультантПлюс Версия 4021.00.50</Company>
  <LinksUpToDate>false</LinksUpToDate>
  <CharactersWithSpaces>43594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19.08.2019 N 400-П(ред. от 09.03.2022)"Об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</dc:title>
  <dc:creator>Пользователь</dc:creator>
  <cp:lastModifiedBy>Пользователь</cp:lastModifiedBy>
  <cp:revision>2</cp:revision>
  <dcterms:created xsi:type="dcterms:W3CDTF">2022-06-03T07:04:00Z</dcterms:created>
  <dcterms:modified xsi:type="dcterms:W3CDTF">2022-06-03T07:04:00Z</dcterms:modified>
</cp:coreProperties>
</file>